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1DA" w:rsidRDefault="00A3484C">
      <w:pPr>
        <w:tabs>
          <w:tab w:val="left" w:pos="2347"/>
          <w:tab w:val="left" w:pos="3782"/>
          <w:tab w:val="left" w:pos="7939"/>
        </w:tabs>
        <w:ind w:left="114"/>
        <w:rPr>
          <w:rFonts w:ascii="Times New Roman"/>
          <w:sz w:val="20"/>
        </w:rPr>
      </w:pPr>
      <w:r>
        <w:rPr>
          <w:rFonts w:ascii="Times New Roman"/>
          <w:noProof/>
          <w:sz w:val="20"/>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212271" cy="690086"/>
                    </a:xfrm>
                    <a:prstGeom prst="rect">
                      <a:avLst/>
                    </a:prstGeom>
                  </pic:spPr>
                </pic:pic>
              </a:graphicData>
            </a:graphic>
          </wp:inline>
        </w:drawing>
      </w:r>
      <w:r>
        <w:rPr>
          <w:rFonts w:ascii="Times New Roman"/>
          <w:sz w:val="20"/>
        </w:rPr>
        <w:tab/>
      </w:r>
      <w:r>
        <w:rPr>
          <w:noProof/>
        </w:rPr>
        <w:drawing>
          <wp:inline distT="0" distB="0" distL="0" distR="0">
            <wp:extent cx="665661"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665661" cy="688085"/>
                    </a:xfrm>
                    <a:prstGeom prst="rect">
                      <a:avLst/>
                    </a:prstGeom>
                  </pic:spPr>
                </pic:pic>
              </a:graphicData>
            </a:graphic>
          </wp:inline>
        </w:drawing>
      </w:r>
      <w:r>
        <w:rPr>
          <w:rFonts w:ascii="Times New Roman"/>
          <w:sz w:val="20"/>
        </w:rPr>
        <w:tab/>
      </w:r>
      <w:r>
        <w:rPr>
          <w:noProof/>
        </w:rP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169667" cy="249174"/>
                    </a:xfrm>
                    <a:prstGeom prst="rect">
                      <a:avLst/>
                    </a:prstGeom>
                  </pic:spPr>
                </pic:pic>
              </a:graphicData>
            </a:graphic>
          </wp:inline>
        </w:drawing>
      </w:r>
      <w:r>
        <w:rPr>
          <w:rFonts w:ascii="Times New Roman"/>
          <w:sz w:val="20"/>
        </w:rPr>
        <w:t xml:space="preserve"> </w:t>
      </w:r>
      <w:r>
        <w:rPr>
          <w:noProof/>
        </w:rP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1" cstate="print"/>
                    <a:stretch>
                      <a:fillRect/>
                    </a:stretch>
                  </pic:blipFill>
                  <pic:spPr>
                    <a:xfrm>
                      <a:off x="0" y="0"/>
                      <a:ext cx="1111177" cy="280987"/>
                    </a:xfrm>
                    <a:prstGeom prst="rect">
                      <a:avLst/>
                    </a:prstGeom>
                  </pic:spPr>
                </pic:pic>
              </a:graphicData>
            </a:graphic>
          </wp:inline>
        </w:drawing>
      </w:r>
      <w:r>
        <w:rPr>
          <w:rFonts w:ascii="Times New Roman"/>
          <w:sz w:val="20"/>
        </w:rPr>
        <w:tab/>
      </w:r>
      <w:r>
        <w:rPr>
          <w:noProof/>
        </w:rP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688437" cy="662940"/>
                    </a:xfrm>
                    <a:prstGeom prst="rect">
                      <a:avLst/>
                    </a:prstGeom>
                  </pic:spPr>
                </pic:pic>
              </a:graphicData>
            </a:graphic>
          </wp:inline>
        </w:drawing>
      </w:r>
    </w:p>
    <w:p w:rsidR="00F041DA" w:rsidRDefault="00F041DA">
      <w:pPr>
        <w:pStyle w:val="Corpsdetexte"/>
        <w:rPr>
          <w:rFonts w:ascii="Times New Roman"/>
          <w:sz w:val="20"/>
        </w:rPr>
      </w:pPr>
    </w:p>
    <w:p w:rsidR="00F041DA" w:rsidRDefault="00F041DA">
      <w:pPr>
        <w:pStyle w:val="Corpsdetexte"/>
        <w:rPr>
          <w:rFonts w:ascii="Times New Roman"/>
          <w:sz w:val="20"/>
        </w:rPr>
      </w:pPr>
    </w:p>
    <w:p w:rsidR="00F041DA" w:rsidRDefault="00F041DA">
      <w:pPr>
        <w:pStyle w:val="Corpsdetexte"/>
        <w:rPr>
          <w:rFonts w:ascii="Times New Roman"/>
          <w:sz w:val="20"/>
        </w:rPr>
      </w:pPr>
    </w:p>
    <w:p w:rsidR="00F041DA" w:rsidRDefault="00F041DA">
      <w:pPr>
        <w:pStyle w:val="Corpsdetexte"/>
        <w:spacing w:before="7"/>
        <w:rPr>
          <w:rFonts w:ascii="Times New Roman"/>
          <w:sz w:val="29"/>
        </w:rPr>
      </w:pPr>
    </w:p>
    <w:p w:rsidR="00F041DA" w:rsidRDefault="00A3484C" w:rsidP="00DA74E4">
      <w:pPr>
        <w:pStyle w:val="Titre"/>
        <w:spacing w:before="98"/>
      </w:pPr>
      <w:r>
        <w:rPr>
          <w:color w:val="4F81BD"/>
        </w:rPr>
        <w:t>SESSÃO 1: QUEM SÃO AS PDI E QUAIS AS SUAS NECESSIDADES ESPECÍFICAS?</w:t>
      </w:r>
    </w:p>
    <w:p w:rsidR="00F041DA" w:rsidRDefault="00A3484C">
      <w:pPr>
        <w:spacing w:before="300"/>
        <w:ind w:left="113"/>
        <w:rPr>
          <w:rFonts w:ascii="Cambria"/>
          <w:sz w:val="24"/>
        </w:rPr>
      </w:pPr>
      <w:r>
        <w:rPr>
          <w:rFonts w:ascii="Cambria"/>
          <w:color w:val="595959"/>
          <w:sz w:val="24"/>
        </w:rPr>
        <w:t>DEFINI</w:t>
      </w:r>
      <w:r>
        <w:rPr>
          <w:rFonts w:ascii="Cambria"/>
          <w:color w:val="595959"/>
          <w:sz w:val="24"/>
        </w:rPr>
        <w:t>ÇÃ</w:t>
      </w:r>
      <w:r>
        <w:rPr>
          <w:rFonts w:ascii="Cambria"/>
          <w:color w:val="595959"/>
          <w:sz w:val="24"/>
        </w:rPr>
        <w:t>O DE PDI E ELABORA</w:t>
      </w:r>
      <w:r>
        <w:rPr>
          <w:rFonts w:ascii="Cambria"/>
          <w:color w:val="595959"/>
          <w:sz w:val="24"/>
        </w:rPr>
        <w:t>ÇÃ</w:t>
      </w:r>
      <w:r>
        <w:rPr>
          <w:rFonts w:ascii="Cambria"/>
          <w:color w:val="595959"/>
          <w:sz w:val="24"/>
        </w:rPr>
        <w:t>O DE POL</w:t>
      </w:r>
      <w:r>
        <w:rPr>
          <w:rFonts w:ascii="Cambria"/>
          <w:color w:val="595959"/>
          <w:sz w:val="24"/>
        </w:rPr>
        <w:t>Í</w:t>
      </w:r>
      <w:r>
        <w:rPr>
          <w:rFonts w:ascii="Cambria"/>
          <w:color w:val="595959"/>
          <w:sz w:val="24"/>
        </w:rPr>
        <w:t>TICAS</w:t>
      </w:r>
    </w:p>
    <w:p w:rsidR="00F041DA" w:rsidRDefault="00F041DA">
      <w:pPr>
        <w:pStyle w:val="Corpsdetexte"/>
        <w:rPr>
          <w:rFonts w:ascii="Cambria"/>
          <w:sz w:val="28"/>
        </w:rPr>
      </w:pPr>
    </w:p>
    <w:p w:rsidR="00F041DA" w:rsidRDefault="00F041DA">
      <w:pPr>
        <w:pStyle w:val="Corpsdetexte"/>
        <w:rPr>
          <w:rFonts w:ascii="Cambria"/>
          <w:sz w:val="28"/>
        </w:rPr>
      </w:pPr>
    </w:p>
    <w:p w:rsidR="00F041DA" w:rsidRDefault="00F041DA">
      <w:pPr>
        <w:pStyle w:val="Corpsdetexte"/>
        <w:spacing w:before="7"/>
        <w:rPr>
          <w:rFonts w:ascii="Cambria"/>
          <w:sz w:val="29"/>
        </w:rPr>
      </w:pPr>
    </w:p>
    <w:p w:rsidR="00F041DA" w:rsidRDefault="00A3484C">
      <w:pPr>
        <w:pStyle w:val="Corpsdetexte"/>
        <w:spacing w:line="290" w:lineRule="auto"/>
        <w:ind w:left="113" w:right="852"/>
      </w:pPr>
      <w:r>
        <w:t>A definição internacionalmente reconhecida de PDI é a contida nos Princípios Orientadores Relativos aos Deslocados Internos de 1998 que foram aprovados na cimeira mundial das Nações Unidas, em 2005, e desde então foram reproduzidos em instrumentos regionais como o protocolo do Pacto dos Grandes Lagos sobre as PDI e a Convenção de Kampala.</w:t>
      </w:r>
    </w:p>
    <w:p w:rsidR="00F041DA" w:rsidRDefault="00A3484C">
      <w:pPr>
        <w:pStyle w:val="Corpsdetexte"/>
        <w:spacing w:before="205" w:line="290" w:lineRule="auto"/>
        <w:ind w:left="113" w:right="852"/>
      </w:pPr>
      <w:r>
        <w:rPr>
          <w:rFonts w:ascii="Cambria" w:hAnsi="Cambria"/>
          <w:color w:val="243F60"/>
        </w:rPr>
        <w:t xml:space="preserve">NÃO É UM ESTATUTO: </w:t>
      </w:r>
      <w:r>
        <w:t>segundo os Princípios Orientadores, a definição de PDI não é uma categoria legal, nem confere “um estatuto legal especial a ser atribuído e possivelmente revogado”.</w:t>
      </w:r>
      <w:r w:rsidR="00E6354F">
        <w:rPr>
          <w:rStyle w:val="Appelnotedebasdep"/>
          <w:w w:val="105"/>
        </w:rPr>
        <w:footnoteReference w:id="1"/>
      </w:r>
      <w:r>
        <w:t xml:space="preserve"> Isto porque as pessoas deslocadas dentro do seu próprio país continuam a usufruir da mesma proteção dos seus direitos que a população geral. Ao contrário dos refugiados, não necessitam de um estatuto especial para garantir os seus direitos. São identificadas como PDIs para protegê-las da exclusão da proteção dos seus direitos humanos, em reconhecimento das vulnerabilidades específicas e acrescidas que a deslocação pode implicar.</w:t>
      </w:r>
    </w:p>
    <w:p w:rsidR="00F041DA" w:rsidRDefault="00E736AE">
      <w:pPr>
        <w:pStyle w:val="Corpsdetexte"/>
        <w:spacing w:before="6"/>
        <w:rPr>
          <w:sz w:val="12"/>
        </w:rPr>
      </w:pPr>
      <w:r>
        <w:pict>
          <v:group id="_x0000_s1041" style="position:absolute;margin-left:123.7pt;margin-top:9.6pt;width:344.4pt;height:98.3pt;z-index:-15728640;mso-wrap-distance-left:0;mso-wrap-distance-right:0;mso-position-horizontal-relative:page" coordorigin="2474,192" coordsize="6888,2300">
            <v:shape id="_x0000_s1043" style="position:absolute;left:2474;top:191;width:6888;height:2300" coordorigin="2474,192" coordsize="6888,2300" path="m9362,192r-6878,l2474,192r,9l2474,2491r10,l2484,201r6878,l9362,192xe" fillcolor="#4f81bd" stroked="f">
              <v:path arrowok="t"/>
            </v:shape>
            <v:shapetype id="_x0000_t202" coordsize="21600,21600" o:spt="202" path="m,l,21600r21600,l21600,xe">
              <v:stroke joinstyle="miter"/>
              <v:path gradientshapeok="t" o:connecttype="rect"/>
            </v:shapetype>
            <v:shape id="_x0000_s1042" type="#_x0000_t202" style="position:absolute;left:2474;top:191;width:6888;height:2300" filled="f" stroked="f">
              <v:textbox inset="0,0,0,0">
                <w:txbxContent>
                  <w:p w:rsidR="00F041DA" w:rsidRDefault="00F041DA">
                    <w:pPr>
                      <w:spacing w:before="10"/>
                      <w:rPr>
                        <w:sz w:val="17"/>
                      </w:rPr>
                    </w:pPr>
                  </w:p>
                  <w:p w:rsidR="00F041DA" w:rsidRDefault="00A3484C">
                    <w:pPr>
                      <w:spacing w:line="292" w:lineRule="auto"/>
                      <w:ind w:left="235" w:right="27"/>
                      <w:jc w:val="both"/>
                      <w:rPr>
                        <w:rFonts w:ascii="Cambria" w:hAnsi="Cambria"/>
                        <w:i/>
                        <w:sz w:val="19"/>
                      </w:rPr>
                    </w:pPr>
                    <w:r>
                      <w:rPr>
                        <w:rFonts w:ascii="Cambria" w:hAnsi="Cambria"/>
                        <w:i/>
                        <w:color w:val="4F81BD"/>
                        <w:sz w:val="19"/>
                      </w:rPr>
                      <w:t>Iémen: “Todas as pessoas cuja situação corresponde a esta definição devem ser consideradas PDI, independentemente do facto de estarem registadas como tal e viverem dentro ou fora de campos. Esta definição não confere qualquer estatuto legal a uma pessoa cuja situação se enquadre nesta definição; descreve apenas a situação factual de ser deslocado internamente.”</w:t>
                    </w:r>
                  </w:p>
                  <w:p w:rsidR="00F041DA" w:rsidRDefault="00A3484C">
                    <w:pPr>
                      <w:spacing w:before="192" w:line="295" w:lineRule="auto"/>
                      <w:ind w:left="235" w:right="27"/>
                      <w:jc w:val="both"/>
                      <w:rPr>
                        <w:rFonts w:ascii="Cambria"/>
                        <w:i/>
                        <w:sz w:val="19"/>
                      </w:rPr>
                    </w:pPr>
                    <w:r>
                      <w:rPr>
                        <w:rFonts w:ascii="Cambria"/>
                        <w:i/>
                        <w:color w:val="4F81BD"/>
                        <w:sz w:val="19"/>
                      </w:rPr>
                      <w:t>Pol</w:t>
                    </w:r>
                    <w:r>
                      <w:rPr>
                        <w:rFonts w:ascii="Cambria"/>
                        <w:i/>
                        <w:color w:val="4F81BD"/>
                        <w:sz w:val="19"/>
                      </w:rPr>
                      <w:t>í</w:t>
                    </w:r>
                    <w:r>
                      <w:rPr>
                        <w:rFonts w:ascii="Cambria"/>
                        <w:i/>
                        <w:color w:val="4F81BD"/>
                        <w:sz w:val="19"/>
                      </w:rPr>
                      <w:t>tica nacional em mat</w:t>
                    </w:r>
                    <w:r>
                      <w:rPr>
                        <w:rFonts w:ascii="Cambria"/>
                        <w:i/>
                        <w:color w:val="4F81BD"/>
                        <w:sz w:val="19"/>
                      </w:rPr>
                      <w:t>é</w:t>
                    </w:r>
                    <w:r>
                      <w:rPr>
                        <w:rFonts w:ascii="Cambria"/>
                        <w:i/>
                        <w:color w:val="4F81BD"/>
                        <w:sz w:val="19"/>
                      </w:rPr>
                      <w:t>ria de desloca</w:t>
                    </w:r>
                    <w:r>
                      <w:rPr>
                        <w:rFonts w:ascii="Cambria"/>
                        <w:i/>
                        <w:color w:val="4F81BD"/>
                        <w:sz w:val="19"/>
                      </w:rPr>
                      <w:t>çõ</w:t>
                    </w:r>
                    <w:r>
                      <w:rPr>
                        <w:rFonts w:ascii="Cambria"/>
                        <w:i/>
                        <w:color w:val="4F81BD"/>
                        <w:sz w:val="19"/>
                      </w:rPr>
                      <w:t>es internas na Rep</w:t>
                    </w:r>
                    <w:r>
                      <w:rPr>
                        <w:rFonts w:ascii="Cambria"/>
                        <w:i/>
                        <w:color w:val="4F81BD"/>
                        <w:sz w:val="19"/>
                      </w:rPr>
                      <w:t>ú</w:t>
                    </w:r>
                    <w:r>
                      <w:rPr>
                        <w:rFonts w:ascii="Cambria"/>
                        <w:i/>
                        <w:color w:val="4F81BD"/>
                        <w:sz w:val="19"/>
                      </w:rPr>
                      <w:t>blica do I</w:t>
                    </w:r>
                    <w:r>
                      <w:rPr>
                        <w:rFonts w:ascii="Cambria"/>
                        <w:i/>
                        <w:color w:val="4F81BD"/>
                        <w:sz w:val="19"/>
                      </w:rPr>
                      <w:t>é</w:t>
                    </w:r>
                    <w:r>
                      <w:rPr>
                        <w:rFonts w:ascii="Cambria"/>
                        <w:i/>
                        <w:color w:val="4F81BD"/>
                        <w:sz w:val="19"/>
                      </w:rPr>
                      <w:t>men, 2013</w:t>
                    </w:r>
                  </w:p>
                </w:txbxContent>
              </v:textbox>
            </v:shape>
            <w10:wrap type="topAndBottom" anchorx="page"/>
          </v:group>
        </w:pict>
      </w:r>
    </w:p>
    <w:p w:rsidR="00F041DA" w:rsidRDefault="00F041DA">
      <w:pPr>
        <w:pStyle w:val="Corpsdetexte"/>
        <w:spacing w:before="11"/>
        <w:rPr>
          <w:sz w:val="5"/>
        </w:rPr>
      </w:pPr>
    </w:p>
    <w:p w:rsidR="00F041DA" w:rsidRDefault="00A3484C">
      <w:pPr>
        <w:pStyle w:val="Corpsdetexte"/>
        <w:spacing w:before="107" w:line="290" w:lineRule="auto"/>
        <w:ind w:left="113" w:right="852"/>
      </w:pPr>
      <w:r>
        <w:rPr>
          <w:rFonts w:ascii="Cambria" w:hAnsi="Cambria"/>
          <w:color w:val="243F60"/>
        </w:rPr>
        <w:t xml:space="preserve">INVOLUNTÁRIO E DENTRO DAS FRONTEIRAS DE UM PAÍS: </w:t>
      </w:r>
      <w:r>
        <w:t>a noção de PDIs baseia-se em duas componentes principais: 1) que o seu movimento é forçado ou involuntário, para distingui-las de migrantes económicos ou outros migrantes voluntários, e 2) que permanecem dentro das fronteiras estatais internacionalmente reconhecidas, para distingui-las dos refugiados.</w:t>
      </w:r>
    </w:p>
    <w:p w:rsidR="00F041DA" w:rsidRDefault="00A3484C" w:rsidP="00E6354F">
      <w:pPr>
        <w:pStyle w:val="Corpsdetexte"/>
        <w:spacing w:before="197" w:line="290" w:lineRule="auto"/>
        <w:ind w:left="113" w:right="778"/>
      </w:pPr>
      <w:r>
        <w:t>Na verdade, nem sempre é fácil distinguir entre a migração forçada e voluntária. As catástrofes de progressão lenta, como a seca e os casos de deslocação repetida são apenas duas das muitas situações que podem dificultar a distinção. O aparecimento de novas formas de mobilidade, sobretudo a “migração adaptativa” como resposta à degradação ambiental, suscitou novos debates sobre a questão.</w:t>
      </w:r>
      <w:r w:rsidR="00FF2F93">
        <w:rPr>
          <w:rStyle w:val="Appelnotedebasdep"/>
          <w:w w:val="105"/>
        </w:rPr>
        <w:footnoteReference w:id="2"/>
      </w:r>
      <w:r>
        <w:t xml:space="preserve"> Hoje é amplamente reconhecido que não existe uma distinção clara, mas sim um continuum.</w:t>
      </w:r>
    </w:p>
    <w:p w:rsidR="00F041DA" w:rsidRDefault="00A3484C">
      <w:pPr>
        <w:pStyle w:val="Corpsdetexte"/>
        <w:spacing w:before="197" w:line="290" w:lineRule="auto"/>
        <w:ind w:left="113" w:right="852"/>
      </w:pPr>
      <w:r>
        <w:rPr>
          <w:rFonts w:ascii="Cambria" w:hAnsi="Cambria"/>
          <w:color w:val="243F60"/>
        </w:rPr>
        <w:lastRenderedPageBreak/>
        <w:t xml:space="preserve">CAUSAS DA DESLOCAÇÃO: </w:t>
      </w:r>
      <w:r>
        <w:t>os Princípios Orientadores definem uma lista não exaustiva das potenciais causas das deslocações internas, onde se incluem os conflitos armados, a violência generalizada, as violações dos direitos humanos e as catástrofes. O protocolo dos Grandes Lagos sobre as PDI e a Convenção de Kampala aumentam esta lista, acrescentando os projetos de desenvolvimento como uma causa, enquanto a legislação queniana inclui a violência política. As definições de outros países, tais como a contida na legislação do Azerbaijão sobre as PDI, são mais restritas e, como tal, problemáticas, uma vez que podem levar à discriminação.</w:t>
      </w:r>
    </w:p>
    <w:p w:rsidR="00F041DA" w:rsidRDefault="00E736AE">
      <w:pPr>
        <w:pStyle w:val="Corpsdetexte"/>
        <w:spacing w:before="6"/>
        <w:rPr>
          <w:sz w:val="12"/>
        </w:rPr>
      </w:pPr>
      <w:r>
        <w:pict>
          <v:group id="_x0000_s1037" style="position:absolute;margin-left:123.7pt;margin-top:9.6pt;width:344.4pt;height:101.55pt;z-index:-15727616;mso-wrap-distance-left:0;mso-wrap-distance-right:0;mso-position-horizontal-relative:page" coordorigin="2474,192" coordsize="6888,2031">
            <v:shape id="_x0000_s1039" style="position:absolute;left:2474;top:191;width:6888;height:2031" coordorigin="2474,192" coordsize="6888,2031" path="m9362,192r-6878,l2474,192r,9l2474,2222r10,l2484,201r6878,l9362,192xe" fillcolor="#4f81bd" stroked="f">
              <v:path arrowok="t"/>
            </v:shape>
            <v:shape id="_x0000_s1038" type="#_x0000_t202" style="position:absolute;left:2474;top:191;width:6888;height:2031" filled="f" stroked="f">
              <v:textbox inset="0,0,0,0">
                <w:txbxContent>
                  <w:p w:rsidR="00F041DA" w:rsidRDefault="00F041DA">
                    <w:pPr>
                      <w:spacing w:before="10"/>
                      <w:rPr>
                        <w:sz w:val="17"/>
                      </w:rPr>
                    </w:pPr>
                  </w:p>
                  <w:p w:rsidR="00F041DA" w:rsidRDefault="00A3484C">
                    <w:pPr>
                      <w:spacing w:line="292" w:lineRule="auto"/>
                      <w:ind w:left="235" w:right="26"/>
                      <w:jc w:val="both"/>
                      <w:rPr>
                        <w:rFonts w:ascii="Cambria"/>
                        <w:i/>
                        <w:sz w:val="19"/>
                      </w:rPr>
                    </w:pPr>
                    <w:r>
                      <w:rPr>
                        <w:rFonts w:ascii="Cambria"/>
                        <w:i/>
                        <w:color w:val="4F81BD"/>
                        <w:sz w:val="19"/>
                      </w:rPr>
                      <w:t>Azerbaij</w:t>
                    </w:r>
                    <w:r>
                      <w:rPr>
                        <w:rFonts w:ascii="Cambria"/>
                        <w:i/>
                        <w:color w:val="4F81BD"/>
                        <w:sz w:val="19"/>
                      </w:rPr>
                      <w:t>ã</w:t>
                    </w:r>
                    <w:r>
                      <w:rPr>
                        <w:rFonts w:ascii="Cambria"/>
                        <w:i/>
                        <w:color w:val="4F81BD"/>
                        <w:sz w:val="19"/>
                      </w:rPr>
                      <w:t>o: "O termo Pessoa Deslocada Internamente (PDI) (pessoa deslocada dentro do pa</w:t>
                    </w:r>
                    <w:r>
                      <w:rPr>
                        <w:rFonts w:ascii="Cambria"/>
                        <w:i/>
                        <w:color w:val="4F81BD"/>
                        <w:sz w:val="19"/>
                      </w:rPr>
                      <w:t>í</w:t>
                    </w:r>
                    <w:r>
                      <w:rPr>
                        <w:rFonts w:ascii="Cambria"/>
                        <w:i/>
                        <w:color w:val="4F81BD"/>
                        <w:sz w:val="19"/>
                      </w:rPr>
                      <w:t>s) deve aplicar-se a qualquer pessoa que se tenha mudado para outro local, sendo for</w:t>
                    </w:r>
                    <w:r>
                      <w:rPr>
                        <w:rFonts w:ascii="Cambria"/>
                        <w:i/>
                        <w:color w:val="4F81BD"/>
                        <w:sz w:val="19"/>
                      </w:rPr>
                      <w:t>ç</w:t>
                    </w:r>
                    <w:r>
                      <w:rPr>
                        <w:rFonts w:ascii="Cambria"/>
                        <w:i/>
                        <w:color w:val="4F81BD"/>
                        <w:sz w:val="19"/>
                      </w:rPr>
                      <w:t>ada a abandonar a sua resid</w:t>
                    </w:r>
                    <w:r>
                      <w:rPr>
                        <w:rFonts w:ascii="Cambria"/>
                        <w:i/>
                        <w:color w:val="4F81BD"/>
                        <w:sz w:val="19"/>
                      </w:rPr>
                      <w:t>ê</w:t>
                    </w:r>
                    <w:r>
                      <w:rPr>
                        <w:rFonts w:ascii="Cambria"/>
                        <w:i/>
                        <w:color w:val="4F81BD"/>
                        <w:sz w:val="19"/>
                      </w:rPr>
                      <w:t>ncia permanente no territ</w:t>
                    </w:r>
                    <w:r>
                      <w:rPr>
                        <w:rFonts w:ascii="Cambria"/>
                        <w:i/>
                        <w:color w:val="4F81BD"/>
                        <w:sz w:val="19"/>
                      </w:rPr>
                      <w:t>ó</w:t>
                    </w:r>
                    <w:r>
                      <w:rPr>
                        <w:rFonts w:ascii="Cambria"/>
                        <w:i/>
                        <w:color w:val="4F81BD"/>
                        <w:sz w:val="19"/>
                      </w:rPr>
                      <w:t>rio da Rep</w:t>
                    </w:r>
                    <w:r>
                      <w:rPr>
                        <w:rFonts w:ascii="Cambria"/>
                        <w:i/>
                        <w:color w:val="4F81BD"/>
                        <w:sz w:val="19"/>
                      </w:rPr>
                      <w:t>ú</w:t>
                    </w:r>
                    <w:r>
                      <w:rPr>
                        <w:rFonts w:ascii="Cambria"/>
                        <w:i/>
                        <w:color w:val="4F81BD"/>
                        <w:sz w:val="19"/>
                      </w:rPr>
                      <w:t>blica do Azerbaij</w:t>
                    </w:r>
                    <w:r>
                      <w:rPr>
                        <w:rFonts w:ascii="Cambria"/>
                        <w:i/>
                        <w:color w:val="4F81BD"/>
                        <w:sz w:val="19"/>
                      </w:rPr>
                      <w:t>ã</w:t>
                    </w:r>
                    <w:r>
                      <w:rPr>
                        <w:rFonts w:ascii="Cambria"/>
                        <w:i/>
                        <w:color w:val="4F81BD"/>
                        <w:sz w:val="19"/>
                      </w:rPr>
                      <w:t>o, no contexto de agress</w:t>
                    </w:r>
                    <w:r>
                      <w:rPr>
                        <w:rFonts w:ascii="Cambria"/>
                        <w:i/>
                        <w:color w:val="4F81BD"/>
                        <w:sz w:val="19"/>
                      </w:rPr>
                      <w:t>ã</w:t>
                    </w:r>
                    <w:r>
                      <w:rPr>
                        <w:rFonts w:ascii="Cambria"/>
                        <w:i/>
                        <w:color w:val="4F81BD"/>
                        <w:sz w:val="19"/>
                      </w:rPr>
                      <w:t>o militar, cat</w:t>
                    </w:r>
                    <w:r>
                      <w:rPr>
                        <w:rFonts w:ascii="Cambria"/>
                        <w:i/>
                        <w:color w:val="4F81BD"/>
                        <w:sz w:val="19"/>
                      </w:rPr>
                      <w:t>á</w:t>
                    </w:r>
                    <w:r>
                      <w:rPr>
                        <w:rFonts w:ascii="Cambria"/>
                        <w:i/>
                        <w:color w:val="4F81BD"/>
                        <w:sz w:val="19"/>
                      </w:rPr>
                      <w:t>strofes naturais ou tecnol</w:t>
                    </w:r>
                    <w:r>
                      <w:rPr>
                        <w:rFonts w:ascii="Cambria"/>
                        <w:i/>
                        <w:color w:val="4F81BD"/>
                        <w:sz w:val="19"/>
                      </w:rPr>
                      <w:t>ó</w:t>
                    </w:r>
                    <w:r>
                      <w:rPr>
                        <w:rFonts w:ascii="Cambria"/>
                        <w:i/>
                        <w:color w:val="4F81BD"/>
                        <w:sz w:val="19"/>
                      </w:rPr>
                      <w:t>gicos."</w:t>
                    </w:r>
                  </w:p>
                  <w:p w:rsidR="00F041DA" w:rsidRDefault="00A3484C">
                    <w:pPr>
                      <w:spacing w:before="192"/>
                      <w:ind w:left="235"/>
                      <w:jc w:val="both"/>
                      <w:rPr>
                        <w:rFonts w:ascii="Cambria"/>
                        <w:i/>
                        <w:sz w:val="19"/>
                      </w:rPr>
                    </w:pPr>
                    <w:r>
                      <w:rPr>
                        <w:rFonts w:ascii="Cambria"/>
                        <w:i/>
                        <w:color w:val="4F81BD"/>
                        <w:sz w:val="19"/>
                      </w:rPr>
                      <w:t>Lei sobre o Estatuto dos Refugiados e Pessoas Deslocadas Internamente no Azerbaij</w:t>
                    </w:r>
                    <w:r>
                      <w:rPr>
                        <w:rFonts w:ascii="Cambria"/>
                        <w:i/>
                        <w:color w:val="4F81BD"/>
                        <w:sz w:val="19"/>
                      </w:rPr>
                      <w:t>ã</w:t>
                    </w:r>
                    <w:r>
                      <w:rPr>
                        <w:rFonts w:ascii="Cambria"/>
                        <w:i/>
                        <w:color w:val="4F81BD"/>
                        <w:sz w:val="19"/>
                      </w:rPr>
                      <w:t>o, 1999</w:t>
                    </w:r>
                  </w:p>
                </w:txbxContent>
              </v:textbox>
            </v:shape>
            <w10:wrap type="topAndBottom" anchorx="page"/>
          </v:group>
        </w:pict>
      </w:r>
    </w:p>
    <w:p w:rsidR="00F041DA" w:rsidRDefault="00F041DA">
      <w:pPr>
        <w:pStyle w:val="Corpsdetexte"/>
        <w:spacing w:before="11"/>
        <w:rPr>
          <w:sz w:val="5"/>
        </w:rPr>
      </w:pPr>
    </w:p>
    <w:p w:rsidR="00F041DA" w:rsidRDefault="00A3484C">
      <w:pPr>
        <w:pStyle w:val="Corpsdetexte"/>
        <w:spacing w:before="107" w:line="290" w:lineRule="auto"/>
        <w:ind w:left="113" w:right="681"/>
      </w:pPr>
      <w:r>
        <w:t>É cada vez mais reconhecido que a deslocação tende a ter causas múltiplas e interligadas, uma das razões por que é um problema tão complexo de resolver. Há muitas vezes limitações às políticas e respostas que assumem uma causa única.</w:t>
      </w:r>
    </w:p>
    <w:p w:rsidR="00F041DA" w:rsidRDefault="00E736AE">
      <w:pPr>
        <w:pStyle w:val="Corpsdetexte"/>
        <w:spacing w:before="199" w:line="290" w:lineRule="auto"/>
        <w:ind w:left="113" w:right="901"/>
        <w:jc w:val="both"/>
      </w:pPr>
      <w:r>
        <w:pict>
          <v:group id="_x0000_s1034" style="position:absolute;left:0;text-align:left;margin-left:313pt;margin-top:46pt;width:204pt;height:303.6pt;z-index:-15814144;mso-position-horizontal-relative:page" coordorigin="6260,920" coordsize="4080,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6316;top:1109;width:3975;height:5774">
              <v:imagedata r:id="rId13" o:title=""/>
            </v:shape>
            <v:rect id="_x0000_s1035" style="position:absolute;left:6267;top:927;width:4065;height:6057" filled="f" strokecolor="#e0e0e0"/>
            <w10:wrap anchorx="page"/>
          </v:group>
        </w:pict>
      </w:r>
      <w:r w:rsidR="00DA74E4">
        <w:rPr>
          <w:rFonts w:ascii="Cambria"/>
          <w:color w:val="243F60"/>
        </w:rPr>
        <w:t>DEFINI</w:t>
      </w:r>
      <w:r w:rsidR="00DA74E4">
        <w:rPr>
          <w:rFonts w:ascii="Cambria"/>
          <w:color w:val="243F60"/>
        </w:rPr>
        <w:t>ÇÕ</w:t>
      </w:r>
      <w:r w:rsidR="00DA74E4">
        <w:rPr>
          <w:rFonts w:ascii="Cambria"/>
          <w:color w:val="243F60"/>
        </w:rPr>
        <w:t xml:space="preserve">ES RESTRITIVAS DE UMA PDI EM INSTRUMENTOS NACIONAIS: </w:t>
      </w:r>
      <w:r w:rsidR="00DA74E4">
        <w:t>as políticas e a legislação nacionais que preveem os mecanismos de registo e/ou resultam num estatuto legal ou de facto como PDI não devem levar à discriminação ou exclusão de direitos</w:t>
      </w:r>
    </w:p>
    <w:p w:rsidR="00F041DA" w:rsidRDefault="00A3484C">
      <w:pPr>
        <w:pStyle w:val="Corpsdetexte"/>
        <w:spacing w:line="290" w:lineRule="auto"/>
        <w:ind w:left="113" w:right="5291"/>
      </w:pPr>
      <w:r>
        <w:t>em certos grupos. O exemplo seguinte da Ucrânia mostra o potencial para a discriminação que essas limitações podem criar. Deve referir-se que este país desenvolveu o seu instrumento nacional em 2014, durante um conflito que desencadeou uma deslocação em massa, de forma a responder melhor às necessidades das pessoas que fugiam das consequências desse conflito.</w:t>
      </w:r>
    </w:p>
    <w:p w:rsidR="00F041DA" w:rsidRDefault="00E736AE">
      <w:pPr>
        <w:pStyle w:val="Corpsdetexte"/>
        <w:spacing w:before="7"/>
        <w:rPr>
          <w:sz w:val="12"/>
        </w:rPr>
      </w:pPr>
      <w:r>
        <w:pict>
          <v:group id="_x0000_s1030" style="position:absolute;margin-left:123.7pt;margin-top:9.65pt;width:180.5pt;height:172.35pt;z-index:-15727104;mso-wrap-distance-left:0;mso-wrap-distance-right:0;mso-position-horizontal-relative:page" coordorigin="2474,193" coordsize="3610,3447">
            <v:shape id="_x0000_s1033" style="position:absolute;left:2474;top:192;width:3610;height:480" coordorigin="2474,193" coordsize="3610,480" path="m6084,193r-3600,l2474,193r,9l2474,673r10,l2484,202r3600,l6084,193xe" fillcolor="#4f81bd" stroked="f">
              <v:path arrowok="t"/>
            </v:shape>
            <v:line id="_x0000_s1032" style="position:absolute" from="2479,673" to="2479,3639" strokecolor="#4f81bd" strokeweight=".48pt"/>
            <v:shape id="_x0000_s1031" type="#_x0000_t202" style="position:absolute;left:2474;top:192;width:3610;height:3447" filled="f" stroked="f">
              <v:textbox style="mso-next-textbox:#_x0000_s1031" inset="0,0,0,0">
                <w:txbxContent>
                  <w:p w:rsidR="00F041DA" w:rsidRDefault="00F041DA">
                    <w:pPr>
                      <w:spacing w:before="10"/>
                      <w:rPr>
                        <w:sz w:val="17"/>
                      </w:rPr>
                    </w:pPr>
                  </w:p>
                  <w:p w:rsidR="00F041DA" w:rsidRDefault="00A3484C">
                    <w:pPr>
                      <w:spacing w:line="290" w:lineRule="auto"/>
                      <w:ind w:left="235" w:right="27"/>
                      <w:jc w:val="both"/>
                      <w:rPr>
                        <w:rFonts w:ascii="Cambria" w:hAnsi="Cambria"/>
                        <w:i/>
                        <w:sz w:val="19"/>
                      </w:rPr>
                    </w:pPr>
                    <w:r>
                      <w:rPr>
                        <w:rFonts w:ascii="Cambria" w:hAnsi="Cambria"/>
                        <w:i/>
                        <w:color w:val="4F81BD"/>
                        <w:sz w:val="19"/>
                      </w:rPr>
                      <w:t>As limitações na definição de PDI da Ucrânia significam que muitas pessoas deslocadas não são elegíveis para registo e outras deparam-se com obstáculos na conclusão do processo. O resultado é que um número significativo de PDIs não consegue aceder à assistência governamental e as PDI registadas são as únicas contabilizadas ou discutidas para fins humanitários. Além disso, existem inconsistências entre a legislação do país sobre as PDI e a resolução 509 sobre o seu registo,</w:t>
                    </w:r>
                  </w:p>
                </w:txbxContent>
              </v:textbox>
            </v:shape>
            <w10:wrap type="topAndBottom" anchorx="page"/>
          </v:group>
        </w:pict>
      </w:r>
    </w:p>
    <w:p w:rsidR="00F041DA" w:rsidRDefault="00F041DA">
      <w:pPr>
        <w:pStyle w:val="Corpsdetexte"/>
        <w:rPr>
          <w:sz w:val="20"/>
        </w:rPr>
      </w:pPr>
    </w:p>
    <w:p w:rsidR="00F041DA" w:rsidRDefault="00E736AE">
      <w:pPr>
        <w:pStyle w:val="Corpsdetexte"/>
        <w:spacing w:before="11"/>
        <w:rPr>
          <w:sz w:val="23"/>
        </w:rPr>
      </w:pPr>
      <w:r>
        <w:pict>
          <v:rect id="_x0000_s1029" style="position:absolute;margin-left:70.7pt;margin-top:16.55pt;width:2in;height:.5pt;z-index:-15726592;mso-wrap-distance-left:0;mso-wrap-distance-right:0;mso-position-horizontal-relative:page" fillcolor="black" stroked="f">
            <w10:wrap type="topAndBottom" anchorx="page"/>
          </v:rect>
        </w:pict>
      </w:r>
    </w:p>
    <w:p w:rsidR="00F041DA" w:rsidRDefault="00F041DA">
      <w:pPr>
        <w:pStyle w:val="Corpsdetexte"/>
        <w:spacing w:before="7"/>
        <w:rPr>
          <w:sz w:val="9"/>
        </w:rPr>
      </w:pPr>
    </w:p>
    <w:p w:rsidR="00F041DA" w:rsidRDefault="00F041DA">
      <w:pPr>
        <w:spacing w:line="254" w:lineRule="auto"/>
        <w:jc w:val="both"/>
        <w:sectPr w:rsidR="00F041DA">
          <w:pgSz w:w="11900" w:h="16820"/>
          <w:pgMar w:top="1300" w:right="700" w:bottom="280" w:left="1300" w:header="708" w:footer="708" w:gutter="0"/>
          <w:cols w:space="708"/>
        </w:sectPr>
      </w:pPr>
    </w:p>
    <w:p w:rsidR="00F041DA" w:rsidRDefault="00E736AE">
      <w:pPr>
        <w:spacing w:before="85" w:line="292" w:lineRule="auto"/>
        <w:ind w:left="1409" w:right="1863"/>
        <w:jc w:val="both"/>
        <w:rPr>
          <w:i/>
          <w:sz w:val="19"/>
        </w:rPr>
      </w:pPr>
      <w:r>
        <w:lastRenderedPageBreak/>
        <w:pict>
          <v:line id="_x0000_s1028" style="position:absolute;left:0;text-align:left;z-index:15732224;mso-position-horizontal-relative:page" from="123.95pt,3.7pt" to="123.95pt,167.1pt" strokecolor="#4f81bd" strokeweight=".48pt">
            <w10:wrap anchorx="page"/>
          </v:line>
        </w:pict>
      </w:r>
      <w:r w:rsidR="00DA74E4">
        <w:rPr>
          <w:rFonts w:ascii="Cambria" w:hAnsi="Cambria"/>
          <w:i/>
          <w:color w:val="4F81BD"/>
          <w:sz w:val="19"/>
        </w:rPr>
        <w:t>as quais suscitaram confusão sobre quem pode registar-se e receber assistência.  A lei define uma PDI como um “cidadão ou residente permanente da Ucrânia que foi forçado a fugir por motivos de conflito, ocupação temporária, violência generalizada ou violações em massa dos direitos humanos.” A resolução 509 inclui estrangeiros e pessoas apátridas que são residentes permanentes na Ucrânia e foram deslocados das áreas oficialmente enunciadas como fora do controlo governamental. Contudo, também estipula que as crianças podem apenas ser registadas pelos seus pais ou tutores legais. Como tal, as que estiverem ao cuidado de outros familiares não são elegíveis e não há qualquer provisão para que os serviços estatais de apoio à criança registem menores não acompanhados. Isto também significa que são excluídas dos números da deslocação. Os mais afetados são as crianças que estudam em áreas controladas pelo governo, mas cujos pais permanecem em áreas fora do controlo governamental, e as que não são consideradas órfãs ou abandonadas.</w:t>
      </w:r>
      <w:r w:rsidR="00FF2F93">
        <w:rPr>
          <w:rStyle w:val="Appelnotedebasdep"/>
          <w:rFonts w:ascii="Cambria" w:hAnsi="Cambria"/>
          <w:i/>
          <w:color w:val="4F81BD"/>
          <w:w w:val="105"/>
          <w:sz w:val="19"/>
        </w:rPr>
        <w:footnoteReference w:id="3"/>
      </w:r>
    </w:p>
    <w:p w:rsidR="00F041DA" w:rsidRDefault="00F041DA">
      <w:pPr>
        <w:pStyle w:val="Corpsdetexte"/>
        <w:rPr>
          <w:i/>
          <w:sz w:val="20"/>
        </w:rPr>
      </w:pPr>
    </w:p>
    <w:p w:rsidR="00F041DA" w:rsidRDefault="00F041DA">
      <w:pPr>
        <w:pStyle w:val="Corpsdetexte"/>
        <w:spacing w:before="10"/>
        <w:rPr>
          <w:i/>
          <w:sz w:val="22"/>
        </w:rPr>
      </w:pPr>
    </w:p>
    <w:p w:rsidR="00F041DA" w:rsidRDefault="00A3484C">
      <w:pPr>
        <w:pStyle w:val="Corpsdetexte"/>
        <w:spacing w:before="107" w:line="252" w:lineRule="auto"/>
        <w:ind w:left="113" w:right="852"/>
      </w:pPr>
      <w:r>
        <w:rPr>
          <w:rFonts w:ascii="Cambria"/>
          <w:color w:val="243F60"/>
        </w:rPr>
        <w:t>REGISTO:</w:t>
      </w:r>
      <w:r w:rsidR="00FF2F93">
        <w:rPr>
          <w:rStyle w:val="Appelnotedebasdep"/>
          <w:rFonts w:ascii="Cambria"/>
          <w:color w:val="243F60"/>
          <w:w w:val="105"/>
        </w:rPr>
        <w:footnoteReference w:id="4"/>
      </w:r>
      <w:r>
        <w:rPr>
          <w:rFonts w:ascii="Cambria"/>
          <w:color w:val="243F60"/>
          <w:sz w:val="13"/>
        </w:rPr>
        <w:t xml:space="preserve"> </w:t>
      </w:r>
      <w:r>
        <w:t>o registo implica a identificação dos indivíduos, famílias e agregados familiares deslocados, bem como a recolha de dados pessoais, como o nome, data de nascimento, género, laços de parentesco, área de origem, localização e necessidades especiais.</w:t>
      </w:r>
    </w:p>
    <w:p w:rsidR="00F041DA" w:rsidRDefault="00A3484C">
      <w:pPr>
        <w:pStyle w:val="Corpsdetexte"/>
        <w:spacing w:before="200" w:line="252" w:lineRule="auto"/>
        <w:ind w:left="113" w:right="778"/>
      </w:pPr>
      <w:r>
        <w:t>Fazer, ou não, o registo, pode ser uma decisão difícil. Por um lado, pode ser necessário ou útil quando serve uma finalidade específica, como por exemplo, identificar quem tem direito a receber benefícios como ajuda alimentar. Pode também melhorar as respostas, de um modo mais geral, ao (a) estabelecer o número, localização e principais características demográficas da população deslocada, (b) evitar que quem não tem direito à ajuda humanitária aceda à mesma de modo fraudulento e (c) facilitar a emissão de documentos de substituição temporários para substituir os perdidos durante a fuga.</w:t>
      </w:r>
    </w:p>
    <w:p w:rsidR="00F041DA" w:rsidRDefault="00A3484C">
      <w:pPr>
        <w:pStyle w:val="Corpsdetexte"/>
        <w:spacing w:before="205" w:line="252" w:lineRule="auto"/>
        <w:ind w:left="113" w:right="734"/>
      </w:pPr>
      <w:r>
        <w:t>Por outro lado, o registo pode não ser apropriado se não for possível gerir e proteger devidamente os dados sensíveis, se a situação de deslocação for volátil, se as PDI tiverem fugido para áreas inacessíveis, ou se não existirem recursos e capacidades necessários para gerir o processo. O registo acarreta riscos, como a utilização indevida de dados pessoais; a exclusão de algumas PDI, não só do registo, mas também da assistência se os dois estiverem associados; a criação de expectativas não realistas em termos de assistência ou proteção; a confiança em informação desatualizada se as bases de dados não forem devidamente mantidas; e represálias, porque o registo pode associar as PDI a partes específicas em conflito.</w:t>
      </w:r>
    </w:p>
    <w:p w:rsidR="00F041DA" w:rsidRDefault="00A3484C">
      <w:pPr>
        <w:pStyle w:val="Corpsdetexte"/>
        <w:spacing w:before="206"/>
        <w:ind w:left="113"/>
      </w:pPr>
      <w:r>
        <w:t>As autoridades nacionais que decidem efetuar o registo devem assegurar que:</w:t>
      </w:r>
    </w:p>
    <w:p w:rsidR="00F041DA" w:rsidRDefault="00A3484C">
      <w:pPr>
        <w:pStyle w:val="Paragraphedeliste"/>
        <w:numPr>
          <w:ilvl w:val="0"/>
          <w:numId w:val="1"/>
        </w:numPr>
        <w:tabs>
          <w:tab w:val="left" w:pos="833"/>
          <w:tab w:val="left" w:pos="834"/>
        </w:tabs>
        <w:spacing w:before="209" w:line="254" w:lineRule="auto"/>
        <w:ind w:right="1081"/>
        <w:rPr>
          <w:sz w:val="19"/>
        </w:rPr>
      </w:pPr>
      <w:r>
        <w:rPr>
          <w:sz w:val="19"/>
        </w:rPr>
        <w:t>Os procedimentos são transparentes, não discriminatórios, conhecidos e acessíveis a todas as PDI, e simples, para que o acesso aos benefícios associados ao registo não seja demorado.</w:t>
      </w:r>
    </w:p>
    <w:p w:rsidR="00F041DA" w:rsidRDefault="00F041DA">
      <w:pPr>
        <w:pStyle w:val="Corpsdetexte"/>
        <w:spacing w:before="11"/>
      </w:pPr>
    </w:p>
    <w:p w:rsidR="00F041DA" w:rsidRDefault="00A3484C">
      <w:pPr>
        <w:pStyle w:val="Paragraphedeliste"/>
        <w:numPr>
          <w:ilvl w:val="0"/>
          <w:numId w:val="1"/>
        </w:numPr>
        <w:tabs>
          <w:tab w:val="left" w:pos="833"/>
          <w:tab w:val="left" w:pos="834"/>
        </w:tabs>
        <w:spacing w:line="247" w:lineRule="auto"/>
        <w:ind w:right="797"/>
        <w:rPr>
          <w:sz w:val="19"/>
        </w:rPr>
      </w:pPr>
      <w:r>
        <w:rPr>
          <w:sz w:val="19"/>
        </w:rPr>
        <w:t>Os critérios para o registo são claros, não discriminatórios e conformes aos Princípios Orientadores para que não excluam indivíduos ou grupos de PDI.</w:t>
      </w:r>
    </w:p>
    <w:p w:rsidR="00F041DA" w:rsidRDefault="00F041DA">
      <w:pPr>
        <w:pStyle w:val="Corpsdetexte"/>
        <w:spacing w:before="7"/>
        <w:rPr>
          <w:sz w:val="20"/>
        </w:rPr>
      </w:pPr>
    </w:p>
    <w:p w:rsidR="00F041DA" w:rsidRDefault="00A3484C">
      <w:pPr>
        <w:pStyle w:val="Paragraphedeliste"/>
        <w:numPr>
          <w:ilvl w:val="0"/>
          <w:numId w:val="1"/>
        </w:numPr>
        <w:tabs>
          <w:tab w:val="left" w:pos="833"/>
          <w:tab w:val="left" w:pos="834"/>
        </w:tabs>
        <w:spacing w:before="1" w:line="254" w:lineRule="auto"/>
        <w:ind w:right="1076"/>
        <w:rPr>
          <w:sz w:val="19"/>
        </w:rPr>
      </w:pPr>
      <w:r>
        <w:rPr>
          <w:sz w:val="19"/>
        </w:rPr>
        <w:t>Os procedimentos incluem todas as PDI, incluindo as que se encontram em áreas remotas ou inacessíveis, e as que são menos visíveis, por não viverem em campos.</w:t>
      </w:r>
    </w:p>
    <w:p w:rsidR="00F041DA" w:rsidRDefault="00F041DA">
      <w:pPr>
        <w:pStyle w:val="Corpsdetexte"/>
        <w:spacing w:before="10"/>
      </w:pPr>
    </w:p>
    <w:p w:rsidR="00F041DA" w:rsidRDefault="00A3484C">
      <w:pPr>
        <w:pStyle w:val="Paragraphedeliste"/>
        <w:numPr>
          <w:ilvl w:val="0"/>
          <w:numId w:val="1"/>
        </w:numPr>
        <w:tabs>
          <w:tab w:val="left" w:pos="833"/>
          <w:tab w:val="left" w:pos="834"/>
        </w:tabs>
        <w:ind w:right="0" w:hanging="361"/>
        <w:rPr>
          <w:sz w:val="19"/>
        </w:rPr>
      </w:pPr>
      <w:r>
        <w:rPr>
          <w:sz w:val="19"/>
        </w:rPr>
        <w:t>O processo não cria riscos à proteção.</w:t>
      </w:r>
    </w:p>
    <w:p w:rsidR="00F041DA" w:rsidRDefault="00F041DA">
      <w:pPr>
        <w:pStyle w:val="Corpsdetexte"/>
        <w:spacing w:before="9"/>
        <w:rPr>
          <w:sz w:val="20"/>
        </w:rPr>
      </w:pPr>
    </w:p>
    <w:p w:rsidR="00F041DA" w:rsidRDefault="00A3484C">
      <w:pPr>
        <w:pStyle w:val="Paragraphedeliste"/>
        <w:numPr>
          <w:ilvl w:val="0"/>
          <w:numId w:val="1"/>
        </w:numPr>
        <w:tabs>
          <w:tab w:val="left" w:pos="833"/>
          <w:tab w:val="left" w:pos="834"/>
        </w:tabs>
        <w:spacing w:line="254" w:lineRule="auto"/>
        <w:ind w:right="848"/>
        <w:rPr>
          <w:sz w:val="19"/>
        </w:rPr>
      </w:pPr>
      <w:r>
        <w:rPr>
          <w:sz w:val="19"/>
        </w:rPr>
        <w:t>As pessoas sem documentação não são excluídas e recebem os documentos necessários ao registo.</w:t>
      </w:r>
    </w:p>
    <w:p w:rsidR="00F041DA" w:rsidRDefault="00F041DA">
      <w:pPr>
        <w:pStyle w:val="Corpsdetexte"/>
        <w:rPr>
          <w:sz w:val="20"/>
        </w:rPr>
      </w:pPr>
    </w:p>
    <w:p w:rsidR="00F041DA" w:rsidRDefault="00A3484C">
      <w:pPr>
        <w:pStyle w:val="Paragraphedeliste"/>
        <w:numPr>
          <w:ilvl w:val="0"/>
          <w:numId w:val="1"/>
        </w:numPr>
        <w:tabs>
          <w:tab w:val="left" w:pos="833"/>
          <w:tab w:val="left" w:pos="834"/>
        </w:tabs>
        <w:spacing w:before="80" w:line="254" w:lineRule="auto"/>
        <w:ind w:right="963"/>
        <w:rPr>
          <w:sz w:val="19"/>
        </w:rPr>
      </w:pPr>
      <w:r>
        <w:rPr>
          <w:sz w:val="19"/>
        </w:rPr>
        <w:t>Qualquer informação recolhida é protegida e a sua confidencialidade é garantida, de forma a não expor as PDI a riscos acrescidos.</w:t>
      </w:r>
    </w:p>
    <w:p w:rsidR="00F041DA" w:rsidRDefault="00F041DA">
      <w:pPr>
        <w:pStyle w:val="Corpsdetexte"/>
        <w:rPr>
          <w:sz w:val="24"/>
        </w:rPr>
      </w:pPr>
    </w:p>
    <w:p w:rsidR="00F041DA" w:rsidRDefault="00F041DA">
      <w:pPr>
        <w:pStyle w:val="Corpsdetexte"/>
        <w:spacing w:before="6"/>
        <w:rPr>
          <w:sz w:val="30"/>
        </w:rPr>
      </w:pPr>
    </w:p>
    <w:p w:rsidR="00F041DA" w:rsidRDefault="00A3484C">
      <w:pPr>
        <w:pStyle w:val="Corpsdetexte"/>
        <w:ind w:left="113"/>
        <w:rPr>
          <w:rFonts w:ascii="Cambria"/>
        </w:rPr>
      </w:pPr>
      <w:r>
        <w:rPr>
          <w:rFonts w:ascii="Cambria"/>
          <w:color w:val="243F60"/>
        </w:rPr>
        <w:t>PONTOS DE ESCLARECIMENTO ADICIONAIS:</w:t>
      </w:r>
    </w:p>
    <w:p w:rsidR="00F041DA" w:rsidRDefault="00F041DA">
      <w:pPr>
        <w:pStyle w:val="Corpsdetexte"/>
        <w:spacing w:before="1"/>
        <w:rPr>
          <w:rFonts w:ascii="Cambria"/>
          <w:sz w:val="21"/>
        </w:rPr>
      </w:pPr>
    </w:p>
    <w:p w:rsidR="00F041DA" w:rsidRDefault="00A3484C">
      <w:pPr>
        <w:pStyle w:val="Paragraphedeliste"/>
        <w:numPr>
          <w:ilvl w:val="0"/>
          <w:numId w:val="1"/>
        </w:numPr>
        <w:tabs>
          <w:tab w:val="left" w:pos="834"/>
        </w:tabs>
        <w:spacing w:line="290" w:lineRule="auto"/>
        <w:ind w:right="1162"/>
        <w:jc w:val="both"/>
        <w:rPr>
          <w:sz w:val="19"/>
        </w:rPr>
      </w:pPr>
      <w:r>
        <w:rPr>
          <w:sz w:val="19"/>
        </w:rPr>
        <w:t>Os Princípios Orientadores não impõem quaisquer condições em termos de até onde uma pessoa terá de fugir para poder ser considerada deslocada. Algumas PDI podem movimentar-se apenas em distâncias muito curtas, quer por escolha, quer por não terem acesso a abrigo e assistência alternativos.</w:t>
      </w:r>
    </w:p>
    <w:p w:rsidR="00F041DA" w:rsidRDefault="00F041DA">
      <w:pPr>
        <w:pStyle w:val="Corpsdetexte"/>
        <w:rPr>
          <w:sz w:val="23"/>
        </w:rPr>
      </w:pPr>
    </w:p>
    <w:p w:rsidR="00F041DA" w:rsidRDefault="00A3484C">
      <w:pPr>
        <w:pStyle w:val="Paragraphedeliste"/>
        <w:numPr>
          <w:ilvl w:val="0"/>
          <w:numId w:val="1"/>
        </w:numPr>
        <w:tabs>
          <w:tab w:val="left" w:pos="833"/>
          <w:tab w:val="left" w:pos="834"/>
        </w:tabs>
        <w:spacing w:line="290" w:lineRule="auto"/>
        <w:ind w:right="735"/>
        <w:rPr>
          <w:sz w:val="19"/>
        </w:rPr>
      </w:pPr>
      <w:r>
        <w:rPr>
          <w:sz w:val="19"/>
        </w:rPr>
        <w:t>Os Princípios Orientadores não impõem quaisquer condições em termos da distância que uma pessoa terá de estar deslocada para ser definida como PDI. Uma retirada breve preventiva e voluntária pode cumprir os critérios, embora possa não despertar quaisquer necessidades ou preocupações em especial. As pessoas também não deixam de ser consideradas deslocadas após um determinado período de tempo. Muitas permanecem como PDIs durante décadas e, em alguns casos, durante gerações.</w:t>
      </w:r>
    </w:p>
    <w:p w:rsidR="00F041DA" w:rsidRDefault="00F041DA">
      <w:pPr>
        <w:pStyle w:val="Corpsdetexte"/>
        <w:spacing w:before="3"/>
        <w:rPr>
          <w:sz w:val="23"/>
        </w:rPr>
      </w:pPr>
    </w:p>
    <w:p w:rsidR="00F041DA" w:rsidRDefault="00A3484C">
      <w:pPr>
        <w:pStyle w:val="Paragraphedeliste"/>
        <w:numPr>
          <w:ilvl w:val="0"/>
          <w:numId w:val="1"/>
        </w:numPr>
        <w:tabs>
          <w:tab w:val="left" w:pos="834"/>
        </w:tabs>
        <w:spacing w:before="1" w:line="290" w:lineRule="auto"/>
        <w:jc w:val="both"/>
        <w:rPr>
          <w:sz w:val="19"/>
        </w:rPr>
      </w:pPr>
      <w:r>
        <w:rPr>
          <w:sz w:val="19"/>
        </w:rPr>
        <w:t>Os Princípios Orientadores reconhecem que as pessoas podem tornar-se PDIs na iminência de fatores coercivos que as obriguem a mudar-se. Porém, pode ser difícil determinar quem constitui uma PDI nessas situações, por exemplo quando as pessoas se mudam como resultado de catástrofes de progressão lenta, porque fazê-lo pode ser uma forma de migração adaptativa e a compulsão é difícil de demonstrar.</w:t>
      </w:r>
    </w:p>
    <w:p w:rsidR="00F041DA" w:rsidRDefault="00F041DA">
      <w:pPr>
        <w:pStyle w:val="Corpsdetexte"/>
        <w:spacing w:before="10"/>
        <w:rPr>
          <w:sz w:val="22"/>
        </w:rPr>
      </w:pPr>
    </w:p>
    <w:p w:rsidR="00F041DA" w:rsidRDefault="00A3484C">
      <w:pPr>
        <w:pStyle w:val="Paragraphedeliste"/>
        <w:numPr>
          <w:ilvl w:val="0"/>
          <w:numId w:val="1"/>
        </w:numPr>
        <w:tabs>
          <w:tab w:val="left" w:pos="834"/>
        </w:tabs>
        <w:spacing w:line="290" w:lineRule="auto"/>
        <w:ind w:right="1002"/>
        <w:jc w:val="both"/>
        <w:rPr>
          <w:sz w:val="19"/>
        </w:rPr>
      </w:pPr>
      <w:r>
        <w:rPr>
          <w:sz w:val="19"/>
        </w:rPr>
        <w:t xml:space="preserve">Uma PDI não necessita de ser um cidadão do país em causa, podendo ser um residente habitual. A residência habitual é geralmente determinada tanto objetivamente, em termos da sua presença durante um determinado período de tempo, como subjetivamente, em termos da sua “intenção de permanecer” ou </w:t>
      </w:r>
      <w:r>
        <w:rPr>
          <w:i/>
          <w:sz w:val="19"/>
        </w:rPr>
        <w:t>animus manendi</w:t>
      </w:r>
      <w:r>
        <w:rPr>
          <w:sz w:val="19"/>
        </w:rPr>
        <w:t>.</w:t>
      </w:r>
    </w:p>
    <w:p w:rsidR="00F041DA" w:rsidRDefault="00F041DA">
      <w:pPr>
        <w:pStyle w:val="Corpsdetexte"/>
        <w:rPr>
          <w:sz w:val="23"/>
        </w:rPr>
      </w:pPr>
    </w:p>
    <w:p w:rsidR="00F041DA" w:rsidRDefault="00A3484C">
      <w:pPr>
        <w:pStyle w:val="Paragraphedeliste"/>
        <w:numPr>
          <w:ilvl w:val="0"/>
          <w:numId w:val="1"/>
        </w:numPr>
        <w:tabs>
          <w:tab w:val="left" w:pos="833"/>
          <w:tab w:val="left" w:pos="834"/>
        </w:tabs>
        <w:spacing w:before="1" w:line="290" w:lineRule="auto"/>
        <w:ind w:right="874"/>
        <w:rPr>
          <w:sz w:val="19"/>
        </w:rPr>
      </w:pPr>
      <w:r>
        <w:rPr>
          <w:sz w:val="19"/>
        </w:rPr>
        <w:t>Alguma legislação nacional sobre as PDI, sobretudo na Europa, atribui às PDI um estatuto especial. Isto é muitas vezes problemático, porque levanta questões de determinação, exclusão de PDIs de facto dos benefícios, discriminação e graves dificuldades em termos de revogação. A atribuição de um estatuto acarreta o risco de criar uma categoria permanente de pessoas vulneráveis, cuja situação será difícil de resolver.</w:t>
      </w:r>
    </w:p>
    <w:p w:rsidR="00F041DA" w:rsidRDefault="00F041DA">
      <w:pPr>
        <w:pStyle w:val="Corpsdetexte"/>
        <w:spacing w:before="2"/>
        <w:rPr>
          <w:sz w:val="23"/>
        </w:rPr>
      </w:pPr>
    </w:p>
    <w:p w:rsidR="00F041DA" w:rsidRDefault="00A3484C">
      <w:pPr>
        <w:pStyle w:val="Paragraphedeliste"/>
        <w:numPr>
          <w:ilvl w:val="0"/>
          <w:numId w:val="1"/>
        </w:numPr>
        <w:tabs>
          <w:tab w:val="left" w:pos="834"/>
        </w:tabs>
        <w:spacing w:before="1" w:line="288" w:lineRule="auto"/>
        <w:ind w:right="942"/>
        <w:jc w:val="both"/>
        <w:rPr>
          <w:sz w:val="19"/>
        </w:rPr>
      </w:pPr>
      <w:r>
        <w:rPr>
          <w:sz w:val="19"/>
        </w:rPr>
        <w:t>Os Princípios Orientadores incluem uma lista não exaustiva das causas da deslocação. Algumas são puramente descritivas, enquanto outras são legais ou têm implicações legais:</w:t>
      </w:r>
    </w:p>
    <w:p w:rsidR="00F041DA" w:rsidRDefault="00F041DA">
      <w:pPr>
        <w:pStyle w:val="Corpsdetexte"/>
        <w:spacing w:before="2"/>
        <w:rPr>
          <w:sz w:val="23"/>
        </w:rPr>
      </w:pPr>
    </w:p>
    <w:p w:rsidR="00F041DA" w:rsidRDefault="00A3484C">
      <w:pPr>
        <w:pStyle w:val="Paragraphedeliste"/>
        <w:numPr>
          <w:ilvl w:val="1"/>
          <w:numId w:val="1"/>
        </w:numPr>
        <w:tabs>
          <w:tab w:val="left" w:pos="1107"/>
        </w:tabs>
        <w:spacing w:line="290" w:lineRule="auto"/>
        <w:ind w:right="1040"/>
        <w:rPr>
          <w:sz w:val="19"/>
        </w:rPr>
      </w:pPr>
      <w:r>
        <w:rPr>
          <w:sz w:val="19"/>
          <w:u w:val="single"/>
        </w:rPr>
        <w:t>Conflito armado</w:t>
      </w:r>
      <w:r>
        <w:rPr>
          <w:sz w:val="19"/>
        </w:rPr>
        <w:t>: a existência de conflito armado é um pré-requisito para a aplicação do direito internacional humanitário (DIH), para além da lei dos direitos humanos. O DIH distingue entre conflito armado internacional e não internacional.</w:t>
      </w:r>
    </w:p>
    <w:p w:rsidR="00F041DA" w:rsidRDefault="00F041DA">
      <w:pPr>
        <w:pStyle w:val="Corpsdetexte"/>
        <w:spacing w:before="1"/>
        <w:rPr>
          <w:sz w:val="23"/>
        </w:rPr>
      </w:pPr>
    </w:p>
    <w:p w:rsidR="00F041DA" w:rsidRDefault="00A3484C">
      <w:pPr>
        <w:pStyle w:val="Corpsdetexte"/>
        <w:spacing w:line="290" w:lineRule="auto"/>
        <w:ind w:left="1106" w:right="681"/>
      </w:pPr>
      <w:r>
        <w:t>As poucas normas vinculativas do DIH para o conflito armado não internacional são o terceiro artigo comum e o segundo protocolo adicional das Convenções de Genebra, e normas habituais do DIH. Existem dois limiares.</w:t>
      </w:r>
      <w:r>
        <w:rPr>
          <w:rStyle w:val="Appelnotedebasdep"/>
          <w:w w:val="105"/>
        </w:rPr>
        <w:footnoteReference w:id="5"/>
      </w:r>
      <w:r>
        <w:t xml:space="preserve"> Se for atingido o limiar superior, o segundo protocolo adicional pode ser aplicável. Para o limiar inferior é aplicável o terceiro artigo comum.</w:t>
      </w:r>
    </w:p>
    <w:p w:rsidR="00F041DA" w:rsidRDefault="00F041DA">
      <w:pPr>
        <w:pStyle w:val="Corpsdetexte"/>
        <w:spacing w:before="3"/>
        <w:rPr>
          <w:sz w:val="23"/>
        </w:rPr>
      </w:pPr>
    </w:p>
    <w:p w:rsidR="00F041DA" w:rsidRDefault="00A3484C">
      <w:pPr>
        <w:pStyle w:val="Corpsdetexte"/>
        <w:spacing w:line="290" w:lineRule="auto"/>
        <w:ind w:left="1106" w:right="681"/>
      </w:pPr>
      <w:r>
        <w:t>Na verdade, surgiu uma categoria adicional de conflito armado internacionalizado, o que gerou questões complexas em relação às partes do DIH que são aplicáveis e a quem. O DIH também fornece alguma orientação sobre a qualificação da natureza de um conflito armado e o Comité Internacional da Cruz Vermelha (CICV) está na linha da frente desta avaliação.</w:t>
      </w:r>
    </w:p>
    <w:p w:rsidR="00F041DA" w:rsidRDefault="00F041DA">
      <w:pPr>
        <w:pStyle w:val="Corpsdetexte"/>
        <w:rPr>
          <w:sz w:val="20"/>
        </w:rPr>
      </w:pPr>
    </w:p>
    <w:p w:rsidR="00F041DA" w:rsidRDefault="00F041DA">
      <w:pPr>
        <w:pStyle w:val="Corpsdetexte"/>
        <w:rPr>
          <w:sz w:val="29"/>
        </w:rPr>
      </w:pPr>
      <w:bookmarkStart w:id="0" w:name="_GoBack"/>
      <w:bookmarkEnd w:id="0"/>
    </w:p>
    <w:p w:rsidR="00F041DA" w:rsidRDefault="00F041DA">
      <w:pPr>
        <w:pStyle w:val="Corpsdetexte"/>
        <w:spacing w:before="7"/>
        <w:rPr>
          <w:sz w:val="9"/>
        </w:rPr>
      </w:pPr>
    </w:p>
    <w:p w:rsidR="00F041DA" w:rsidRDefault="00F041DA">
      <w:pPr>
        <w:spacing w:line="254" w:lineRule="auto"/>
        <w:sectPr w:rsidR="00F041DA">
          <w:pgSz w:w="11900" w:h="16820"/>
          <w:pgMar w:top="1340" w:right="700" w:bottom="280" w:left="1300" w:header="708" w:footer="708" w:gutter="0"/>
          <w:cols w:space="708"/>
        </w:sectPr>
      </w:pPr>
    </w:p>
    <w:p w:rsidR="00F041DA" w:rsidRDefault="00A3484C">
      <w:pPr>
        <w:pStyle w:val="Paragraphedeliste"/>
        <w:numPr>
          <w:ilvl w:val="1"/>
          <w:numId w:val="1"/>
        </w:numPr>
        <w:tabs>
          <w:tab w:val="left" w:pos="1107"/>
        </w:tabs>
        <w:spacing w:before="80" w:line="290" w:lineRule="auto"/>
        <w:ind w:right="923"/>
        <w:rPr>
          <w:sz w:val="19"/>
        </w:rPr>
      </w:pPr>
      <w:r>
        <w:rPr>
          <w:sz w:val="19"/>
          <w:u w:val="single"/>
        </w:rPr>
        <w:lastRenderedPageBreak/>
        <w:t>Violência generalizada</w:t>
      </w:r>
      <w:r>
        <w:rPr>
          <w:sz w:val="19"/>
        </w:rPr>
        <w:t>: esta categoria é incluída para captar situações que ficam aquém do limiar de conflito armado não internacional, geralmente perturbações internas. Inclui a violência étnica, política ou sectária.</w:t>
      </w:r>
    </w:p>
    <w:p w:rsidR="00F041DA" w:rsidRDefault="00F041DA">
      <w:pPr>
        <w:pStyle w:val="Corpsdetexte"/>
        <w:rPr>
          <w:sz w:val="23"/>
        </w:rPr>
      </w:pPr>
    </w:p>
    <w:p w:rsidR="00F041DA" w:rsidRDefault="00A3484C">
      <w:pPr>
        <w:pStyle w:val="Paragraphedeliste"/>
        <w:numPr>
          <w:ilvl w:val="1"/>
          <w:numId w:val="1"/>
        </w:numPr>
        <w:tabs>
          <w:tab w:val="left" w:pos="1107"/>
        </w:tabs>
        <w:spacing w:line="290" w:lineRule="auto"/>
        <w:ind w:right="769"/>
        <w:rPr>
          <w:sz w:val="19"/>
        </w:rPr>
      </w:pPr>
      <w:r>
        <w:rPr>
          <w:sz w:val="19"/>
          <w:u w:val="single"/>
        </w:rPr>
        <w:t>Violações dos direitos humanos</w:t>
      </w:r>
      <w:r>
        <w:rPr>
          <w:sz w:val="19"/>
        </w:rPr>
        <w:t>: esta categoria faz referência à lei dos direitos humanos para determinar se ocorreu uma violação. Os despejos forçados são um exemplo comum de uma violação dos direitos humanos que leva à deslocação.</w:t>
      </w:r>
    </w:p>
    <w:p w:rsidR="00F041DA" w:rsidRDefault="00F041DA">
      <w:pPr>
        <w:pStyle w:val="Corpsdetexte"/>
        <w:rPr>
          <w:sz w:val="23"/>
        </w:rPr>
      </w:pPr>
    </w:p>
    <w:p w:rsidR="00F041DA" w:rsidRDefault="00A3484C">
      <w:pPr>
        <w:pStyle w:val="Paragraphedeliste"/>
        <w:numPr>
          <w:ilvl w:val="1"/>
          <w:numId w:val="1"/>
        </w:numPr>
        <w:tabs>
          <w:tab w:val="left" w:pos="1107"/>
        </w:tabs>
        <w:spacing w:before="1" w:line="292" w:lineRule="auto"/>
        <w:rPr>
          <w:sz w:val="19"/>
        </w:rPr>
      </w:pPr>
      <w:r>
        <w:rPr>
          <w:sz w:val="19"/>
          <w:u w:val="single"/>
        </w:rPr>
        <w:t>Catástrofes naturais ou de origem humana</w:t>
      </w:r>
      <w:r>
        <w:rPr>
          <w:sz w:val="19"/>
        </w:rPr>
        <w:t>: ambos os tipos de catástrofes são mencionados para evitar um debate sobre a atribuição de causas.</w:t>
      </w:r>
    </w:p>
    <w:p w:rsidR="00F041DA" w:rsidRDefault="00F041DA">
      <w:pPr>
        <w:pStyle w:val="Corpsdetexte"/>
        <w:spacing w:before="2"/>
        <w:rPr>
          <w:sz w:val="27"/>
        </w:rPr>
      </w:pPr>
    </w:p>
    <w:p w:rsidR="00F041DA" w:rsidRDefault="00A3484C">
      <w:pPr>
        <w:pStyle w:val="Paragraphedeliste"/>
        <w:numPr>
          <w:ilvl w:val="0"/>
          <w:numId w:val="1"/>
        </w:numPr>
        <w:tabs>
          <w:tab w:val="left" w:pos="833"/>
          <w:tab w:val="left" w:pos="834"/>
        </w:tabs>
        <w:spacing w:line="292" w:lineRule="auto"/>
        <w:ind w:right="809"/>
        <w:rPr>
          <w:sz w:val="19"/>
        </w:rPr>
      </w:pPr>
      <w:r>
        <w:rPr>
          <w:sz w:val="19"/>
        </w:rPr>
        <w:t>A secção de anotações dos Princípios Orientadores estipula que estes “não se aplicam a pessoas que se mudam voluntariamente de um local para outro com o único intuito de melhorar as suas circunstâncias económicas.”</w:t>
      </w:r>
    </w:p>
    <w:sectPr w:rsidR="00F041DA">
      <w:pgSz w:w="11900" w:h="16820"/>
      <w:pgMar w:top="1340" w:right="700" w:bottom="28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54F" w:rsidRDefault="00E6354F" w:rsidP="00E6354F">
      <w:r>
        <w:separator/>
      </w:r>
    </w:p>
  </w:endnote>
  <w:endnote w:type="continuationSeparator" w:id="0">
    <w:p w:rsidR="00E6354F" w:rsidRDefault="00E6354F" w:rsidP="00E6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54F" w:rsidRDefault="00E6354F" w:rsidP="00E6354F">
      <w:r>
        <w:separator/>
      </w:r>
    </w:p>
  </w:footnote>
  <w:footnote w:type="continuationSeparator" w:id="0">
    <w:p w:rsidR="00E6354F" w:rsidRDefault="00E6354F" w:rsidP="00E6354F">
      <w:r>
        <w:continuationSeparator/>
      </w:r>
    </w:p>
  </w:footnote>
  <w:footnote w:id="1">
    <w:p w:rsidR="00E6354F" w:rsidRPr="00E6354F" w:rsidRDefault="00E6354F" w:rsidP="00FF2F93">
      <w:pPr>
        <w:pStyle w:val="Corpsdetexte"/>
        <w:spacing w:before="143" w:line="254" w:lineRule="auto"/>
        <w:ind w:left="113"/>
      </w:pPr>
      <w:r>
        <w:rPr>
          <w:rStyle w:val="Appelnotedebasdep"/>
        </w:rPr>
        <w:footnoteRef/>
      </w:r>
      <w:r>
        <w:t xml:space="preserve"> Brookings Institution, Deixou de ser PDI? Explorar o Problema do Fim da Deslocação Interna, abril de 2002, pág. 3, disponível em </w:t>
      </w:r>
      <w:hyperlink r:id="rId1">
        <w:r>
          <w:rPr>
            <w:color w:val="244061"/>
            <w:u w:val="single" w:color="244061"/>
          </w:rPr>
          <w:t>http://goo.gl/RvjPoN</w:t>
        </w:r>
      </w:hyperlink>
    </w:p>
  </w:footnote>
  <w:footnote w:id="2">
    <w:p w:rsidR="00FF2F93" w:rsidRDefault="00FF2F93" w:rsidP="00FF2F93">
      <w:pPr>
        <w:pStyle w:val="Corpsdetexte"/>
        <w:spacing w:before="143" w:line="254" w:lineRule="auto"/>
        <w:ind w:left="113" w:right="99"/>
        <w:jc w:val="both"/>
      </w:pPr>
      <w:r>
        <w:rPr>
          <w:rStyle w:val="Appelnotedebasdep"/>
        </w:rPr>
        <w:footnoteRef/>
      </w:r>
      <w:r>
        <w:t xml:space="preserve"> Veja-se, por exemplo, o debate da “retornabilidade” como um teste à natureza forçada, ou não, da deslocação. Universidade das Nações Unidas, Alterações Climáticas, Deslocação de Pessoas: Enquadramento da Migração, Deslocação e Recolocação Planeada, junho de 2013, disponível em </w:t>
      </w:r>
      <w:r>
        <w:rPr>
          <w:color w:val="244061"/>
          <w:u w:val="single" w:color="244061"/>
        </w:rPr>
        <w:t>https://goo.gl/lfTaON.</w:t>
      </w:r>
    </w:p>
    <w:p w:rsidR="00FF2F93" w:rsidRPr="00FF2F93" w:rsidRDefault="00FF2F93">
      <w:pPr>
        <w:pStyle w:val="Notedebasdepage"/>
      </w:pPr>
    </w:p>
  </w:footnote>
  <w:footnote w:id="3">
    <w:p w:rsidR="00FF2F93" w:rsidRPr="00FF2F93" w:rsidRDefault="00FF2F93" w:rsidP="00FF2F93">
      <w:pPr>
        <w:pStyle w:val="Corpsdetexte"/>
        <w:spacing w:before="143" w:line="247" w:lineRule="auto"/>
        <w:ind w:left="113" w:right="852"/>
      </w:pPr>
      <w:r>
        <w:rPr>
          <w:rStyle w:val="Appelnotedebasdep"/>
        </w:rPr>
        <w:footnoteRef/>
      </w:r>
      <w:r>
        <w:t xml:space="preserve"> IDMC - Os números das deslocações na Ucrânia não refletem uma realidade complexa, documento informativo, setembro de 2015, disponível em </w:t>
      </w:r>
      <w:hyperlink r:id="rId2">
        <w:r>
          <w:rPr>
            <w:color w:val="244061"/>
            <w:u w:val="single" w:color="244061"/>
          </w:rPr>
          <w:t>http://goo.gl/dziDrC</w:t>
        </w:r>
      </w:hyperlink>
    </w:p>
  </w:footnote>
  <w:footnote w:id="4">
    <w:p w:rsidR="00FF2F93" w:rsidRPr="00FF2F93" w:rsidRDefault="00FF2F93" w:rsidP="00FF2F93">
      <w:pPr>
        <w:pStyle w:val="Corpsdetexte"/>
        <w:spacing w:before="209" w:line="254" w:lineRule="auto"/>
        <w:ind w:left="113" w:right="852"/>
      </w:pPr>
      <w:r>
        <w:rPr>
          <w:rStyle w:val="Appelnotedebasdep"/>
        </w:rPr>
        <w:footnoteRef/>
      </w:r>
      <w:r>
        <w:t xml:space="preserve"> IDMC/Brookings Institution, Instrumentos Nacionais sobre as Deslocações Internas: Guia para o seu Desenvolvimento, 2013, disponível em </w:t>
      </w:r>
      <w:hyperlink r:id="rId3">
        <w:r>
          <w:rPr>
            <w:color w:val="244061"/>
            <w:u w:val="single" w:color="244061"/>
          </w:rPr>
          <w:t>http://goo.gl/QgYor6</w:t>
        </w:r>
      </w:hyperlink>
      <w:r>
        <w:t>.</w:t>
      </w:r>
    </w:p>
  </w:footnote>
  <w:footnote w:id="5">
    <w:p w:rsidR="00A3484C" w:rsidRPr="00A3484C" w:rsidRDefault="00A3484C" w:rsidP="00A3484C">
      <w:pPr>
        <w:pStyle w:val="Corpsdetexte"/>
        <w:spacing w:before="143" w:line="254" w:lineRule="auto"/>
        <w:ind w:left="113"/>
      </w:pPr>
      <w:r>
        <w:rPr>
          <w:rStyle w:val="Appelnotedebasdep"/>
        </w:rPr>
        <w:footnoteRef/>
      </w:r>
      <w:r>
        <w:t xml:space="preserve"> Comentário do CICV sobre o segundo protocolo adicional às Convenções de Genebra, 1987, disponível em </w:t>
      </w:r>
      <w:r>
        <w:rPr>
          <w:color w:val="244061"/>
          <w:u w:val="single" w:color="244061"/>
        </w:rPr>
        <w:t>https://goo.gl/rBnTXr.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6C5C8B"/>
    <w:multiLevelType w:val="hybridMultilevel"/>
    <w:tmpl w:val="10B8D110"/>
    <w:lvl w:ilvl="0" w:tplc="0DCCA1C0">
      <w:numFmt w:val="bullet"/>
      <w:lvlText w:val=""/>
      <w:lvlJc w:val="left"/>
      <w:pPr>
        <w:ind w:left="833" w:hanging="360"/>
      </w:pPr>
      <w:rPr>
        <w:rFonts w:ascii="Wingdings" w:eastAsia="Wingdings" w:hAnsi="Wingdings" w:cs="Wingdings" w:hint="default"/>
        <w:color w:val="244061"/>
        <w:w w:val="103"/>
        <w:sz w:val="19"/>
        <w:szCs w:val="19"/>
      </w:rPr>
    </w:lvl>
    <w:lvl w:ilvl="1" w:tplc="D31A1D9E">
      <w:numFmt w:val="bullet"/>
      <w:lvlText w:val=""/>
      <w:lvlJc w:val="left"/>
      <w:pPr>
        <w:ind w:left="1106" w:hanging="283"/>
      </w:pPr>
      <w:rPr>
        <w:rFonts w:ascii="Wingdings" w:eastAsia="Wingdings" w:hAnsi="Wingdings" w:cs="Wingdings" w:hint="default"/>
        <w:color w:val="1F497D"/>
        <w:w w:val="99"/>
        <w:sz w:val="16"/>
        <w:szCs w:val="16"/>
      </w:rPr>
    </w:lvl>
    <w:lvl w:ilvl="2" w:tplc="8898BFB8">
      <w:numFmt w:val="bullet"/>
      <w:lvlText w:val="•"/>
      <w:lvlJc w:val="left"/>
      <w:pPr>
        <w:ind w:left="2077" w:hanging="283"/>
      </w:pPr>
      <w:rPr>
        <w:rFonts w:hint="default"/>
      </w:rPr>
    </w:lvl>
    <w:lvl w:ilvl="3" w:tplc="842C0FAC">
      <w:numFmt w:val="bullet"/>
      <w:lvlText w:val="•"/>
      <w:lvlJc w:val="left"/>
      <w:pPr>
        <w:ind w:left="3055" w:hanging="283"/>
      </w:pPr>
      <w:rPr>
        <w:rFonts w:hint="default"/>
      </w:rPr>
    </w:lvl>
    <w:lvl w:ilvl="4" w:tplc="7F1CDA38">
      <w:numFmt w:val="bullet"/>
      <w:lvlText w:val="•"/>
      <w:lvlJc w:val="left"/>
      <w:pPr>
        <w:ind w:left="4033" w:hanging="283"/>
      </w:pPr>
      <w:rPr>
        <w:rFonts w:hint="default"/>
      </w:rPr>
    </w:lvl>
    <w:lvl w:ilvl="5" w:tplc="1BC84C0A">
      <w:numFmt w:val="bullet"/>
      <w:lvlText w:val="•"/>
      <w:lvlJc w:val="left"/>
      <w:pPr>
        <w:ind w:left="5011" w:hanging="283"/>
      </w:pPr>
      <w:rPr>
        <w:rFonts w:hint="default"/>
      </w:rPr>
    </w:lvl>
    <w:lvl w:ilvl="6" w:tplc="94748D40">
      <w:numFmt w:val="bullet"/>
      <w:lvlText w:val="•"/>
      <w:lvlJc w:val="left"/>
      <w:pPr>
        <w:ind w:left="5988" w:hanging="283"/>
      </w:pPr>
      <w:rPr>
        <w:rFonts w:hint="default"/>
      </w:rPr>
    </w:lvl>
    <w:lvl w:ilvl="7" w:tplc="5D727342">
      <w:numFmt w:val="bullet"/>
      <w:lvlText w:val="•"/>
      <w:lvlJc w:val="left"/>
      <w:pPr>
        <w:ind w:left="6966" w:hanging="283"/>
      </w:pPr>
      <w:rPr>
        <w:rFonts w:hint="default"/>
      </w:rPr>
    </w:lvl>
    <w:lvl w:ilvl="8" w:tplc="046E334A">
      <w:numFmt w:val="bullet"/>
      <w:lvlText w:val="•"/>
      <w:lvlJc w:val="left"/>
      <w:pPr>
        <w:ind w:left="7944" w:hanging="2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F041DA"/>
    <w:rsid w:val="00564F34"/>
    <w:rsid w:val="0099332A"/>
    <w:rsid w:val="00A3484C"/>
    <w:rsid w:val="00DA74E4"/>
    <w:rsid w:val="00E6354F"/>
    <w:rsid w:val="00E736AE"/>
    <w:rsid w:val="00F041DA"/>
    <w:rsid w:val="00FF2F93"/>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docId w15:val="{27116EE6-E016-440B-A5B8-F0AFFE0B3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9"/>
      <w:szCs w:val="19"/>
    </w:rPr>
  </w:style>
  <w:style w:type="paragraph" w:styleId="Titre">
    <w:name w:val="Title"/>
    <w:basedOn w:val="Normal"/>
    <w:uiPriority w:val="10"/>
    <w:qFormat/>
    <w:pPr>
      <w:spacing w:before="90"/>
      <w:ind w:left="113"/>
    </w:pPr>
    <w:rPr>
      <w:sz w:val="52"/>
      <w:szCs w:val="52"/>
    </w:rPr>
  </w:style>
  <w:style w:type="paragraph" w:styleId="Paragraphedeliste">
    <w:name w:val="List Paragraph"/>
    <w:basedOn w:val="Normal"/>
    <w:uiPriority w:val="1"/>
    <w:qFormat/>
    <w:pPr>
      <w:ind w:left="833" w:right="935" w:hanging="360"/>
    </w:pPr>
  </w:style>
  <w:style w:type="paragraph" w:customStyle="1" w:styleId="TableParagraph">
    <w:name w:val="Table Paragraph"/>
    <w:basedOn w:val="Normal"/>
    <w:uiPriority w:val="1"/>
    <w:qFormat/>
  </w:style>
  <w:style w:type="paragraph" w:styleId="Notedefin">
    <w:name w:val="endnote text"/>
    <w:basedOn w:val="Normal"/>
    <w:link w:val="NotedefinCar"/>
    <w:uiPriority w:val="99"/>
    <w:semiHidden/>
    <w:unhideWhenUsed/>
    <w:rsid w:val="00E6354F"/>
    <w:rPr>
      <w:sz w:val="20"/>
      <w:szCs w:val="20"/>
    </w:rPr>
  </w:style>
  <w:style w:type="character" w:customStyle="1" w:styleId="NotedefinCar">
    <w:name w:val="Note de fin Car"/>
    <w:basedOn w:val="Policepardfaut"/>
    <w:link w:val="Notedefin"/>
    <w:uiPriority w:val="99"/>
    <w:semiHidden/>
    <w:rsid w:val="00E6354F"/>
    <w:rPr>
      <w:rFonts w:ascii="Calibri" w:eastAsia="Calibri" w:hAnsi="Calibri" w:cs="Calibri"/>
      <w:sz w:val="20"/>
      <w:szCs w:val="20"/>
    </w:rPr>
  </w:style>
  <w:style w:type="character" w:styleId="Appeldenotedefin">
    <w:name w:val="endnote reference"/>
    <w:basedOn w:val="Policepardfaut"/>
    <w:uiPriority w:val="99"/>
    <w:semiHidden/>
    <w:unhideWhenUsed/>
    <w:rsid w:val="00E6354F"/>
    <w:rPr>
      <w:vertAlign w:val="superscript"/>
    </w:rPr>
  </w:style>
  <w:style w:type="paragraph" w:styleId="Notedebasdepage">
    <w:name w:val="footnote text"/>
    <w:basedOn w:val="Normal"/>
    <w:link w:val="NotedebasdepageCar"/>
    <w:uiPriority w:val="99"/>
    <w:semiHidden/>
    <w:unhideWhenUsed/>
    <w:rsid w:val="00E6354F"/>
    <w:rPr>
      <w:sz w:val="20"/>
      <w:szCs w:val="20"/>
    </w:rPr>
  </w:style>
  <w:style w:type="character" w:customStyle="1" w:styleId="NotedebasdepageCar">
    <w:name w:val="Note de bas de page Car"/>
    <w:basedOn w:val="Policepardfaut"/>
    <w:link w:val="Notedebasdepage"/>
    <w:uiPriority w:val="99"/>
    <w:semiHidden/>
    <w:rsid w:val="00E6354F"/>
    <w:rPr>
      <w:rFonts w:ascii="Calibri" w:eastAsia="Calibri" w:hAnsi="Calibri" w:cs="Calibri"/>
      <w:sz w:val="20"/>
      <w:szCs w:val="20"/>
    </w:rPr>
  </w:style>
  <w:style w:type="character" w:styleId="Appelnotedebasdep">
    <w:name w:val="footnote reference"/>
    <w:basedOn w:val="Policepardfaut"/>
    <w:uiPriority w:val="99"/>
    <w:semiHidden/>
    <w:unhideWhenUsed/>
    <w:rsid w:val="00E635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goo.gl/QgYor6." TargetMode="External"/><Relationship Id="rId2" Type="http://schemas.openxmlformats.org/officeDocument/2006/relationships/hyperlink" Target="http://goo.gl/dziDrC" TargetMode="External"/><Relationship Id="rId1" Type="http://schemas.openxmlformats.org/officeDocument/2006/relationships/hyperlink" Target="http://goo.gl/RvjP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0AD2-F7BD-4E2D-855A-04A79961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1654</Words>
  <Characters>9100</Characters>
  <Application>Microsoft Office Word</Application>
  <DocSecurity>0</DocSecurity>
  <Lines>75</Lines>
  <Paragraphs>21</Paragraphs>
  <ScaleCrop>false</ScaleCrop>
  <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Debauche</cp:lastModifiedBy>
  <cp:revision>2</cp:revision>
  <dcterms:created xsi:type="dcterms:W3CDTF">2021-01-20T16:17:00Z</dcterms:created>
  <dcterms:modified xsi:type="dcterms:W3CDTF">2021-01-20T16:17:00Z</dcterms:modified>
</cp:coreProperties>
</file>